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2D361F" w:rsidRDefault="009413BC" w:rsidP="002343B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2D361F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Validación de la TABLA DE APLICABILIDAD de las obligaciones de transparencia comunes</w:t>
      </w:r>
      <w:r w:rsidR="00041024" w:rsidRPr="002D361F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.</w:t>
      </w:r>
    </w:p>
    <w:p w:rsidR="00041024" w:rsidRPr="002D361F" w:rsidRDefault="00041024" w:rsidP="002343B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2D361F" w:rsidRDefault="00041024" w:rsidP="002343B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</w:pPr>
      <w:r w:rsidRPr="002D361F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E</w:t>
      </w:r>
      <w:r w:rsidR="009413BC" w:rsidRPr="002D361F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ntidad</w:t>
      </w:r>
      <w:proofErr w:type="gramStart"/>
      <w:r w:rsidR="009413BC" w:rsidRPr="002D361F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:</w:t>
      </w:r>
      <w:r w:rsidR="004B57A7" w:rsidRPr="002D361F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>INSTITUTO</w:t>
      </w:r>
      <w:proofErr w:type="gramEnd"/>
      <w:r w:rsidR="004B57A7" w:rsidRPr="002D361F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 xml:space="preserve"> OAXAQUEÑO CO</w:t>
      </w:r>
      <w:r w:rsidRPr="002D361F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>N</w:t>
      </w:r>
      <w:r w:rsidR="004B57A7" w:rsidRPr="002D361F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 xml:space="preserve">STRUCTOR DE INFRAESTRUCTURA </w:t>
      </w:r>
      <w:r w:rsidRPr="002D361F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>FÍSICA</w:t>
      </w:r>
      <w:r w:rsidR="004B57A7" w:rsidRPr="002D361F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 xml:space="preserve"> EDUCATIVA (IOCIFED).</w:t>
      </w:r>
    </w:p>
    <w:p w:rsidR="009413BC" w:rsidRPr="002D361F" w:rsidRDefault="009413BC" w:rsidP="002343B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2D361F" w:rsidRPr="002D361F" w:rsidTr="004B57A7">
        <w:trPr>
          <w:trHeight w:val="611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413BC" w:rsidRPr="002D361F" w:rsidRDefault="009413BC" w:rsidP="002343B0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2D36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Tipo de Sujeto obligado: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9413BC" w:rsidRPr="002D361F" w:rsidRDefault="009413BC" w:rsidP="002343B0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2D36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Documento de origen:</w:t>
            </w:r>
          </w:p>
        </w:tc>
      </w:tr>
      <w:tr w:rsidR="002D361F" w:rsidRPr="002D361F" w:rsidTr="004B57A7">
        <w:tc>
          <w:tcPr>
            <w:tcW w:w="5386" w:type="dxa"/>
          </w:tcPr>
          <w:p w:rsidR="009413BC" w:rsidRPr="002D361F" w:rsidRDefault="009413BC" w:rsidP="002343B0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2D36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Administración Centralizada</w:t>
            </w:r>
          </w:p>
        </w:tc>
        <w:tc>
          <w:tcPr>
            <w:tcW w:w="5387" w:type="dxa"/>
          </w:tcPr>
          <w:p w:rsidR="009413BC" w:rsidRPr="002D361F" w:rsidRDefault="009413BC" w:rsidP="002343B0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D361F" w:rsidRPr="002D361F" w:rsidTr="004B57A7">
        <w:tc>
          <w:tcPr>
            <w:tcW w:w="5386" w:type="dxa"/>
          </w:tcPr>
          <w:p w:rsidR="009413BC" w:rsidRPr="002D361F" w:rsidRDefault="009413BC" w:rsidP="002343B0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2D36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Desconcentrado</w:t>
            </w:r>
          </w:p>
        </w:tc>
        <w:tc>
          <w:tcPr>
            <w:tcW w:w="5387" w:type="dxa"/>
          </w:tcPr>
          <w:p w:rsidR="009413BC" w:rsidRPr="002D361F" w:rsidRDefault="009413BC" w:rsidP="002343B0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es-MX"/>
              </w:rPr>
            </w:pPr>
          </w:p>
        </w:tc>
      </w:tr>
      <w:tr w:rsidR="002D361F" w:rsidRPr="002D361F" w:rsidTr="004B57A7">
        <w:tc>
          <w:tcPr>
            <w:tcW w:w="5386" w:type="dxa"/>
          </w:tcPr>
          <w:p w:rsidR="009413BC" w:rsidRPr="002D361F" w:rsidRDefault="009413BC" w:rsidP="002343B0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2D36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Descentralizado</w:t>
            </w:r>
          </w:p>
        </w:tc>
        <w:tc>
          <w:tcPr>
            <w:tcW w:w="5387" w:type="dxa"/>
          </w:tcPr>
          <w:p w:rsidR="009413BC" w:rsidRPr="002D361F" w:rsidRDefault="00041024" w:rsidP="002343B0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2D36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Decreto de Creación del Instituto Oaxaqueño Constructor de Infraestructura Física Educativa (IOCIFED) de fecha 01 de julio de 2018, </w:t>
            </w:r>
            <w:r w:rsidR="00200DDF" w:rsidRPr="002D36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 Publicado e</w:t>
            </w:r>
            <w:r w:rsidRPr="002D36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n el  Periódico Oficial del Gobierno del Estado en Fecha 02 de Agosto De 2008.</w:t>
            </w:r>
          </w:p>
        </w:tc>
      </w:tr>
      <w:tr w:rsidR="002D361F" w:rsidRPr="002D361F" w:rsidTr="004B57A7">
        <w:tc>
          <w:tcPr>
            <w:tcW w:w="5386" w:type="dxa"/>
          </w:tcPr>
          <w:p w:rsidR="009413BC" w:rsidRPr="002D361F" w:rsidRDefault="009413BC" w:rsidP="002343B0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2D36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5387" w:type="dxa"/>
          </w:tcPr>
          <w:p w:rsidR="009413BC" w:rsidRPr="002D361F" w:rsidRDefault="009413BC" w:rsidP="002343B0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9C57EA" w:rsidRPr="002D361F" w:rsidTr="004B57A7">
        <w:tc>
          <w:tcPr>
            <w:tcW w:w="5386" w:type="dxa"/>
          </w:tcPr>
          <w:p w:rsidR="009413BC" w:rsidRPr="002D361F" w:rsidRDefault="009413BC" w:rsidP="002343B0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2D36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Fideicomisos, Fondos y Mandatos</w:t>
            </w:r>
          </w:p>
        </w:tc>
        <w:tc>
          <w:tcPr>
            <w:tcW w:w="5387" w:type="dxa"/>
          </w:tcPr>
          <w:p w:rsidR="009413BC" w:rsidRPr="002D361F" w:rsidRDefault="009413BC" w:rsidP="002343B0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:rsidR="000F7861" w:rsidRPr="002D361F" w:rsidRDefault="000F7861" w:rsidP="002343B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39"/>
        <w:gridCol w:w="2428"/>
        <w:gridCol w:w="1512"/>
        <w:gridCol w:w="1730"/>
        <w:gridCol w:w="1417"/>
        <w:gridCol w:w="1275"/>
      </w:tblGrid>
      <w:tr w:rsidR="002D361F" w:rsidRPr="002D361F" w:rsidTr="000C359D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FRACCIÓN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APLICA/NO APLICA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FUNDAMENTO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UNIDAD ADMINISTRATIVA RESPONSABLE DE GENERAR LA INFORMACIÓN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VALIDACIÓN IAIP</w:t>
            </w:r>
          </w:p>
        </w:tc>
      </w:tr>
      <w:tr w:rsidR="002D361F" w:rsidRPr="002D361F" w:rsidTr="002D361F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funciones u objeto social, según corresponda, la información, por lo menos, de los temas, documentos y políticas que a continuación se señalan:</w:t>
            </w:r>
          </w:p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D361F" w:rsidRDefault="004B57A7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2D361F" w:rsidRDefault="00041024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JURÍDICO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2D361F" w:rsidRDefault="009413BC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2D361F" w:rsidRDefault="002343B0" w:rsidP="002D36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JURIDICO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base o de confianza, de todas las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No se tiene el consentimiento de los servidores públicos para hacer pública su declaración patrimonial. (http://www.contraloria.oaxaca.gob.mx)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JURÍDICO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esta fracción corresponde a la Secretaría de Administración, contenidas en la ley orgánica del poder ejecutivo del estado de Oaxaca.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Artículo 46, de la Ley  O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rgánica del Poder Ejecutivo del Estado de Oaxaca.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Si les aplica en términos de lo establecido en el artículo 11 de la Ley Estatal de 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esta fracción corresponde a las  atribuciones de la Secretaría de la Contraloría y Transparencia Gubernamental contenidas en la ley orgánica del poder ejecutivo del estado de Oaxaca.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Artículo 47, fracción XVI de la Ley  O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rgánica del Poder Ejecutivo del Estado de Oaxaca.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DEBEN TENER LA INFORMACIÓN COMO SUJETOS OLBIGADOS EN TERMINOS DEL ARTÍCULO 43 DEL REGLAMENTO INTERIOR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esta fracción corresponde a La Secretaria de Finanzas de gobierno del estado de Oaxaca, contenidas en la ley orgánica del poder ejecutivo del estado de Oaxaca y en la Ley de Deuda Pública Estatal y Municipal del Estado de Oaxaca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 anterior con fundamentoen el Articulo 62Segundo párrafo de la Ley Orgánica del poder Ejecutivo del Estado de Oaxaca,  los artículo 8 de la Ley de Deuda Pública Estatal y Municipal del Estado de Oaxaca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términos de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montos, criterios, convocatorias y listado de personas físicas o morales a quienes, por cualquier motivo, se les asigne o permita usar recursos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Cs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información relativa a esta fracción no corresponde a las  atribuciones de este sujeto obligado, contenidas en la ley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orgánica del poder ejecutivo del estado de Oaxaca, ni en su reglamento interno, es facultad de la Secretaria de Finanzas de gobierno del estado de Oaxaca.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 xml:space="preserve">Lo anterior con fundamento en el Artículo 45 de la Ley Orgánica del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poder Ejecutivo del Estado de Oaxaca.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Es aplicable en términos de los Lineamientos Técnicos Generales para la publicación, homologación y estandarización de la información en relación con el artículo 7 fracción III del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DIRECCIÓN DE CONSTRUCCIÓN</w:t>
            </w:r>
          </w:p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Es aplicable términos de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Es aplicable términos de los Lineamientos Técnicos Generales para la publicación, homologación y estandarización de la información en relación con el artículo 34 fracción XIII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JURIDICO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esta fracción no corresponde a las  atribuciones de este sujeto obligado, contenidas en su Decreto de Creación.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Artículos 1, 2, 4, y 5 del decreto de creación de este instituto de fecha primero de julio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del 2008, publicado en el periódico oficial del gobierno del estado el 02 de agosto del mismo año.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JURÍDICO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del Artículo 25 Inciso C, fracción IV de la Constitución Política del Estado Libre y Soberano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 la fecha no está especificado en las facultades, competencias y funciones de esta Entidad ofrecer programas,  ello obedece a que, por el objeto y naturaleza jurídica de esta Entidad, se tiene ya especificado a quien va dirigido y donde se van a ejecutar las obras.</w:t>
            </w:r>
          </w:p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Artículos 1, 2, 4, y 5 del decreto de creación de este instituto de fecha primero de julio del 2008, publicado en el periódico oficial del gobierno del estado el 02 de agosto del mismo año.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JURIDICO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Artículo 11 Fracción I de su Reglamento Interno.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CONSTRUCCIÓN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sz w:val="18"/>
                <w:szCs w:val="18"/>
              </w:rPr>
              <w:t xml:space="preserve">Es aplicable en términos de lo establecido en los Lineamientos Técnicos Generales para la publicación homologación y </w:t>
            </w:r>
            <w:r w:rsidRPr="002D361F">
              <w:rPr>
                <w:sz w:val="18"/>
                <w:szCs w:val="18"/>
              </w:rPr>
              <w:lastRenderedPageBreak/>
              <w:t>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D361F" w:rsidRPr="002D361F" w:rsidTr="002D361F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esta fracción no corresponde a las  atribuciones de este sujeto obligado, contenidas en su Decreto de Creación.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Artículos 1, 2, 4, y 5 del decreto de creación de este instituto de fecha primero de julio del 2008, publicado en el periódico oficial del gobierno del estado el 02 de agosto del mismo año.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imss.gob.mx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previa autorización del Consejo de administración y que son bienes obsoletos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artículos 2 fracción XX en relación con el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TODAS LAS ÁREAS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ADMINISTRATIVO</w:t>
            </w:r>
          </w:p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JURÍDICO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2D361F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esta fracción no corresponde a las  atribuciones de este sujeto obligado, contenidas en su Decreto de Creación.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Artículos 1, 2, 4, y 5 del decreto de creación de este instituto de fecha primero de julio del 2008, publicado en el periódico oficial del gobierno del estado el 02 de agosto del mismo año.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361F" w:rsidRPr="002D361F" w:rsidTr="002D361F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2D361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jc w:val="both"/>
              <w:rPr>
                <w:sz w:val="18"/>
                <w:szCs w:val="18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TODAS LAS ÁREAS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0" w:rsidRPr="002D361F" w:rsidRDefault="002343B0" w:rsidP="002343B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B0" w:rsidRPr="002D361F" w:rsidRDefault="002343B0" w:rsidP="002D361F">
            <w:pPr>
              <w:jc w:val="center"/>
            </w:pPr>
            <w:r w:rsidRPr="002D361F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2D361F" w:rsidRDefault="0086030A" w:rsidP="002343B0">
      <w:pPr>
        <w:jc w:val="both"/>
        <w:rPr>
          <w:b/>
          <w:sz w:val="18"/>
          <w:szCs w:val="18"/>
        </w:rPr>
      </w:pPr>
    </w:p>
    <w:p w:rsidR="002D361F" w:rsidRDefault="002D361F" w:rsidP="002D361F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2D361F" w:rsidRDefault="002D361F" w:rsidP="002D361F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dieciocho  de enero  de dos mil diecisiete.</w:t>
      </w:r>
    </w:p>
    <w:p w:rsidR="002D361F" w:rsidRDefault="002D361F" w:rsidP="002D361F">
      <w:pPr>
        <w:jc w:val="center"/>
        <w:rPr>
          <w:sz w:val="24"/>
          <w:szCs w:val="24"/>
        </w:rPr>
      </w:pPr>
      <w:r>
        <w:t xml:space="preserve">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2D361F" w:rsidRDefault="002D361F" w:rsidP="002D361F">
      <w:pPr>
        <w:jc w:val="center"/>
      </w:pPr>
    </w:p>
    <w:p w:rsidR="002D361F" w:rsidRDefault="002D361F" w:rsidP="002D361F">
      <w:pPr>
        <w:jc w:val="center"/>
        <w:rPr>
          <w:b/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</w:p>
    <w:p w:rsidR="00293070" w:rsidRPr="002D361F" w:rsidRDefault="00293070" w:rsidP="002343B0">
      <w:pPr>
        <w:jc w:val="both"/>
        <w:rPr>
          <w:b/>
          <w:sz w:val="18"/>
          <w:szCs w:val="18"/>
        </w:rPr>
      </w:pPr>
    </w:p>
    <w:p w:rsidR="00293070" w:rsidRPr="002D361F" w:rsidRDefault="00293070" w:rsidP="002343B0">
      <w:pPr>
        <w:jc w:val="both"/>
        <w:rPr>
          <w:b/>
          <w:sz w:val="18"/>
          <w:szCs w:val="18"/>
        </w:rPr>
      </w:pPr>
      <w:bookmarkStart w:id="1" w:name="_GoBack"/>
      <w:bookmarkEnd w:id="1"/>
    </w:p>
    <w:sectPr w:rsidR="00293070" w:rsidRPr="002D361F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40E3E"/>
    <w:rsid w:val="00041024"/>
    <w:rsid w:val="000475C1"/>
    <w:rsid w:val="000A51A7"/>
    <w:rsid w:val="000C359D"/>
    <w:rsid w:val="000E0289"/>
    <w:rsid w:val="000E3AED"/>
    <w:rsid w:val="000F7861"/>
    <w:rsid w:val="00126D56"/>
    <w:rsid w:val="001652D5"/>
    <w:rsid w:val="00166A1D"/>
    <w:rsid w:val="00177E66"/>
    <w:rsid w:val="001912F6"/>
    <w:rsid w:val="001B1A08"/>
    <w:rsid w:val="00200DDF"/>
    <w:rsid w:val="00225AF7"/>
    <w:rsid w:val="002343B0"/>
    <w:rsid w:val="00251753"/>
    <w:rsid w:val="00293070"/>
    <w:rsid w:val="002B2C15"/>
    <w:rsid w:val="002D361F"/>
    <w:rsid w:val="002F34FF"/>
    <w:rsid w:val="00351FC7"/>
    <w:rsid w:val="0035573C"/>
    <w:rsid w:val="00373DCD"/>
    <w:rsid w:val="00376C9E"/>
    <w:rsid w:val="003909AD"/>
    <w:rsid w:val="00450A42"/>
    <w:rsid w:val="004530C6"/>
    <w:rsid w:val="00467E34"/>
    <w:rsid w:val="00497399"/>
    <w:rsid w:val="004B57A7"/>
    <w:rsid w:val="00542604"/>
    <w:rsid w:val="00561DE4"/>
    <w:rsid w:val="005664DB"/>
    <w:rsid w:val="00586D04"/>
    <w:rsid w:val="005949EF"/>
    <w:rsid w:val="006571CF"/>
    <w:rsid w:val="00657231"/>
    <w:rsid w:val="006611C4"/>
    <w:rsid w:val="006939A1"/>
    <w:rsid w:val="006C6166"/>
    <w:rsid w:val="006E4AB7"/>
    <w:rsid w:val="00737E46"/>
    <w:rsid w:val="00744CC0"/>
    <w:rsid w:val="007E0F74"/>
    <w:rsid w:val="008375A5"/>
    <w:rsid w:val="00853C53"/>
    <w:rsid w:val="0086030A"/>
    <w:rsid w:val="009413BC"/>
    <w:rsid w:val="009523DA"/>
    <w:rsid w:val="00974B3B"/>
    <w:rsid w:val="009C57EA"/>
    <w:rsid w:val="009E09AA"/>
    <w:rsid w:val="009E39DC"/>
    <w:rsid w:val="00A9450E"/>
    <w:rsid w:val="00AA0D16"/>
    <w:rsid w:val="00AB3062"/>
    <w:rsid w:val="00B36215"/>
    <w:rsid w:val="00BB30DA"/>
    <w:rsid w:val="00C21503"/>
    <w:rsid w:val="00C561E7"/>
    <w:rsid w:val="00C84B65"/>
    <w:rsid w:val="00CA04D6"/>
    <w:rsid w:val="00CD44A0"/>
    <w:rsid w:val="00DE2A64"/>
    <w:rsid w:val="00DF2BB3"/>
    <w:rsid w:val="00E110C1"/>
    <w:rsid w:val="00E52A3B"/>
    <w:rsid w:val="00E774C4"/>
    <w:rsid w:val="00EF1F0E"/>
    <w:rsid w:val="00F23C72"/>
    <w:rsid w:val="00F8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7A7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2D361F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2596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13</cp:revision>
  <cp:lastPrinted>2017-01-18T00:44:00Z</cp:lastPrinted>
  <dcterms:created xsi:type="dcterms:W3CDTF">2016-10-06T17:49:00Z</dcterms:created>
  <dcterms:modified xsi:type="dcterms:W3CDTF">2017-01-18T00:44:00Z</dcterms:modified>
</cp:coreProperties>
</file>